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hyperlink r:id="rId6">
        <w:r w:rsidDel="00000000" w:rsidR="00000000" w:rsidRPr="00000000">
          <w:rPr>
            <w:b w:val="1"/>
            <w:rtl w:val="0"/>
          </w:rPr>
          <w:t xml:space="preserve">2ª edición del programa de captación de proyectos empresariales de carácter innovador vinculados al sector agroalimentario (AgrotecUV)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b w:val="1"/>
        </w:rPr>
      </w:pPr>
      <w:hyperlink r:id="rId7">
        <w:r w:rsidDel="00000000" w:rsidR="00000000" w:rsidRPr="00000000">
          <w:rPr>
            <w:b w:val="1"/>
            <w:rtl w:val="0"/>
          </w:rPr>
          <w:t xml:space="preserve">2ª edició del programa de captació de projectes empresarials de caràcter innovador vinculats al sector agroalimentari (AgrotecUV)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Subvención. </w:t>
      </w:r>
      <w:r w:rsidDel="00000000" w:rsidR="00000000" w:rsidRPr="00000000">
        <w:rPr>
          <w:rtl w:val="0"/>
        </w:rPr>
        <w:t xml:space="preserve"> Resolució del 17 de juliol de 2023, de la vicerectora d'Innovació i Transferència de la Universitat de València, per la qual es fa pública la segona edició de la Convocatòria AgrotecUV de projectes empresarials de caràcter innovador vinculats al sector agroalimentari (AgrotecUV)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Código de concesión: </w:t>
      </w:r>
      <w:r w:rsidDel="00000000" w:rsidR="00000000" w:rsidRPr="00000000">
        <w:rPr>
          <w:rtl w:val="0"/>
        </w:rPr>
        <w:t xml:space="preserve">SB101299505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Concedida: 13/11/2023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Importe: </w:t>
      </w:r>
      <w:r w:rsidDel="00000000" w:rsidR="00000000" w:rsidRPr="00000000">
        <w:rPr>
          <w:rtl w:val="0"/>
        </w:rPr>
        <w:t xml:space="preserve">2.000,00 €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s/709956" TargetMode="External"/><Relationship Id="rId7" Type="http://schemas.openxmlformats.org/officeDocument/2006/relationships/hyperlink" Target="https://www.pap.hacienda.gob.es/bdnstrans/GE/es/convocatorias/7099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