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hyperlink r:id="rId6">
        <w:r w:rsidDel="00000000" w:rsidR="00000000" w:rsidRPr="00000000">
          <w:rPr>
            <w:b w:val="1"/>
            <w:rtl w:val="0"/>
          </w:rPr>
          <w:t xml:space="preserve">PROGRAMA INVESTIGO 2022-2023 - MRR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Subvención. Orden TES/1267/2021, de 17 de noviembre (BOE no 277, de 19.11.2021).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Código de concesión: </w:t>
      </w:r>
      <w:r w:rsidDel="00000000" w:rsidR="00000000" w:rsidRPr="00000000">
        <w:rPr>
          <w:rtl w:val="0"/>
        </w:rPr>
        <w:t xml:space="preserve">SB102363519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Concedida: 28/12/2022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Importe: </w:t>
      </w:r>
      <w:r w:rsidDel="00000000" w:rsidR="00000000" w:rsidRPr="00000000">
        <w:rPr>
          <w:rtl w:val="0"/>
        </w:rPr>
        <w:t xml:space="preserve">33.108,92€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p.hacienda.gob.es/bdnstrans/GE/es/convocatorias/647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